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B9E6" w14:textId="1108CA0E"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F7563A">
        <w:rPr>
          <w:rStyle w:val="Heading1Char"/>
          <w:rFonts w:eastAsiaTheme="minorHAnsi"/>
        </w:rPr>
        <w:t>9</w:t>
      </w:r>
      <w:r w:rsidR="00C46487">
        <w:rPr>
          <w:rStyle w:val="Heading1Char"/>
          <w:rFonts w:eastAsiaTheme="minorHAnsi"/>
        </w:rPr>
        <w:t>/</w:t>
      </w:r>
      <w:r w:rsidR="0017113A">
        <w:rPr>
          <w:rStyle w:val="Heading1Char"/>
          <w:rFonts w:eastAsiaTheme="minorHAnsi"/>
        </w:rPr>
        <w:t>2</w:t>
      </w:r>
      <w:r w:rsidR="004E7596">
        <w:rPr>
          <w:rStyle w:val="Heading1Char"/>
          <w:rFonts w:eastAsiaTheme="minorHAnsi"/>
        </w:rPr>
        <w:t>6</w:t>
      </w:r>
      <w:r w:rsidRPr="00CE2C39">
        <w:rPr>
          <w:rStyle w:val="Heading1Char"/>
          <w:rFonts w:eastAsiaTheme="minorHAnsi"/>
        </w:rPr>
        <w:t>/1</w:t>
      </w:r>
      <w:r w:rsidR="000B0ABD">
        <w:rPr>
          <w:rStyle w:val="Heading1Char"/>
          <w:rFonts w:eastAsiaTheme="minorHAnsi"/>
        </w:rPr>
        <w:t>7</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50BF402E" w14:textId="1D947019" w:rsidR="00F53FB0" w:rsidRDefault="00503914" w:rsidP="00503914">
      <w:r>
        <w:t>Members Present:</w:t>
      </w:r>
      <w:r w:rsidR="0050051C">
        <w:t xml:space="preserve"> </w:t>
      </w:r>
      <w:r w:rsidR="0017113A">
        <w:t xml:space="preserve">M. </w:t>
      </w:r>
      <w:proofErr w:type="spellStart"/>
      <w:r w:rsidR="0017113A">
        <w:t>Antillie</w:t>
      </w:r>
      <w:proofErr w:type="spellEnd"/>
      <w:r w:rsidR="0017113A">
        <w:t xml:space="preserve">, </w:t>
      </w:r>
      <w:r>
        <w:t xml:space="preserve">D. Coffin, </w:t>
      </w:r>
      <w:r w:rsidR="002E63B0">
        <w:t xml:space="preserve">J. Eglin </w:t>
      </w:r>
      <w:r w:rsidR="00F7563A">
        <w:t>B. Hillman,</w:t>
      </w:r>
      <w:r w:rsidR="0017113A">
        <w:t xml:space="preserve"> </w:t>
      </w:r>
      <w:r w:rsidR="00C804E2">
        <w:t xml:space="preserve">J. Iverson, </w:t>
      </w:r>
      <w:r w:rsidR="00F53FB0">
        <w:t xml:space="preserve">V. Lewis, </w:t>
      </w:r>
      <w:proofErr w:type="gramStart"/>
      <w:r w:rsidR="002E63B0">
        <w:t>T</w:t>
      </w:r>
      <w:proofErr w:type="gramEnd"/>
      <w:r w:rsidR="002E63B0">
        <w:t>. Missett</w:t>
      </w:r>
      <w:r w:rsidR="002E63B0">
        <w:br/>
      </w:r>
      <w:r w:rsidR="0017113A">
        <w:t>G</w:t>
      </w:r>
      <w:r w:rsidR="009F1EF2">
        <w:t xml:space="preserve">. Morell, </w:t>
      </w:r>
      <w:r w:rsidR="00F7563A">
        <w:t xml:space="preserve">K. </w:t>
      </w:r>
      <w:proofErr w:type="spellStart"/>
      <w:r w:rsidR="00F7563A">
        <w:t>Su</w:t>
      </w:r>
      <w:r w:rsidR="00B114F0">
        <w:t>gd</w:t>
      </w:r>
      <w:r w:rsidR="00F7563A">
        <w:t>en</w:t>
      </w:r>
      <w:proofErr w:type="spellEnd"/>
      <w:r w:rsidR="00F7563A">
        <w:t xml:space="preserve">, G. Weix </w:t>
      </w:r>
    </w:p>
    <w:p w14:paraId="4BF19A11" w14:textId="3D357822" w:rsidR="001C4424" w:rsidRDefault="00503914" w:rsidP="00503914">
      <w:r>
        <w:t>Ex-Officio Present</w:t>
      </w:r>
      <w:r w:rsidR="000B0ABD">
        <w:t>:</w:t>
      </w:r>
      <w:r w:rsidR="0017113A">
        <w:t xml:space="preserve"> B. French, B. </w:t>
      </w:r>
      <w:r w:rsidR="0017113A" w:rsidRPr="009C7A48">
        <w:t>Holzworth</w:t>
      </w:r>
      <w:r w:rsidR="0017113A">
        <w:t>,</w:t>
      </w:r>
      <w:r w:rsidR="0017113A" w:rsidRPr="00375C52">
        <w:t xml:space="preserve"> </w:t>
      </w:r>
      <w:r w:rsidR="0017113A">
        <w:t xml:space="preserve">N. Lindsay </w:t>
      </w:r>
      <w:r w:rsidR="00FC66FB">
        <w:br/>
      </w:r>
      <w:r>
        <w:t>Members Excused:</w:t>
      </w:r>
      <w:r w:rsidR="002E63B0">
        <w:t xml:space="preserve"> J. </w:t>
      </w:r>
      <w:proofErr w:type="spellStart"/>
      <w:r w:rsidR="002E63B0">
        <w:t>HIckman</w:t>
      </w:r>
      <w:proofErr w:type="spellEnd"/>
    </w:p>
    <w:p w14:paraId="0EB05924" w14:textId="45DE3DA3" w:rsidR="00503914" w:rsidRDefault="00503914" w:rsidP="00503914">
      <w:r w:rsidRPr="002F0AD7">
        <w:t>The minutes from</w:t>
      </w:r>
      <w:r w:rsidR="00F7563A">
        <w:t xml:space="preserve"> </w:t>
      </w:r>
      <w:r w:rsidR="0099226E">
        <w:t>9</w:t>
      </w:r>
      <w:r w:rsidR="00E466FC">
        <w:t>/</w:t>
      </w:r>
      <w:r w:rsidR="0017113A">
        <w:t>20</w:t>
      </w:r>
      <w:r w:rsidR="00E466FC">
        <w:t>/17</w:t>
      </w:r>
      <w:r w:rsidRPr="002F0AD7">
        <w:t xml:space="preserve"> </w:t>
      </w:r>
      <w:proofErr w:type="gramStart"/>
      <w:r w:rsidRPr="002F0AD7">
        <w:t>were</w:t>
      </w:r>
      <w:r w:rsidR="001B119C">
        <w:t xml:space="preserve"> </w:t>
      </w:r>
      <w:r w:rsidRPr="002F0AD7">
        <w:t>approved</w:t>
      </w:r>
      <w:proofErr w:type="gramEnd"/>
      <w:r w:rsidRPr="002F0AD7">
        <w:t xml:space="preserve">. </w:t>
      </w:r>
    </w:p>
    <w:p w14:paraId="4E216504" w14:textId="79EF821C" w:rsidR="00F53FB0" w:rsidRDefault="00747F3D" w:rsidP="003548F9">
      <w:pPr>
        <w:pStyle w:val="Heading2"/>
      </w:pPr>
      <w:r>
        <w:t xml:space="preserve">Communication: </w:t>
      </w:r>
    </w:p>
    <w:p w14:paraId="745F5B96" w14:textId="17A9EB26" w:rsidR="0017113A" w:rsidRDefault="0017113A" w:rsidP="0017113A">
      <w:pPr>
        <w:pStyle w:val="ListParagraph"/>
        <w:numPr>
          <w:ilvl w:val="0"/>
          <w:numId w:val="44"/>
        </w:numPr>
      </w:pPr>
      <w:r>
        <w:t xml:space="preserve">Members introduced themselves and welcomed the new student member.  Two additional members from the sciences will be joining the committee. </w:t>
      </w:r>
      <w:r>
        <w:br/>
      </w:r>
    </w:p>
    <w:p w14:paraId="3FD28540" w14:textId="2E856C2A" w:rsidR="0017113A" w:rsidRDefault="0017113A" w:rsidP="0017113A">
      <w:pPr>
        <w:pStyle w:val="ListParagraph"/>
        <w:numPr>
          <w:ilvl w:val="0"/>
          <w:numId w:val="44"/>
        </w:numPr>
      </w:pPr>
      <w:r>
        <w:t xml:space="preserve">There was considerable concern at the Faculty Senate meeting regarding the proposed cuts to the library collection.  Graduate Council in collaboration with the Graduate and Professional Student Association is working on a letter.  A Senator requested ASCRC investigate the impacts the cuts will have on the curriculum.  Chair Coffin has asked for data from the library from a recent survey. </w:t>
      </w:r>
      <w:r>
        <w:br/>
      </w:r>
    </w:p>
    <w:p w14:paraId="1BC900A3" w14:textId="77777777" w:rsidR="00337288" w:rsidRPr="00337288" w:rsidRDefault="0017113A" w:rsidP="00337288">
      <w:pPr>
        <w:pStyle w:val="PlainText"/>
        <w:numPr>
          <w:ilvl w:val="0"/>
          <w:numId w:val="44"/>
        </w:numPr>
        <w:rPr>
          <w:rFonts w:asciiTheme="minorHAnsi" w:hAnsiTheme="minorHAnsi" w:cstheme="minorHAnsi"/>
          <w:sz w:val="22"/>
          <w:szCs w:val="22"/>
        </w:rPr>
      </w:pPr>
      <w:r w:rsidRPr="00337288">
        <w:rPr>
          <w:rFonts w:asciiTheme="minorHAnsi" w:hAnsiTheme="minorHAnsi" w:cstheme="minorHAnsi"/>
          <w:sz w:val="22"/>
          <w:szCs w:val="22"/>
        </w:rPr>
        <w:t xml:space="preserve">The IB Coordinator in Kalispell communicated with Associate Provost Nathan Lindsay about additional standard level offerings at the school.  </w:t>
      </w:r>
      <w:r w:rsidR="002E63B0" w:rsidRPr="00337288">
        <w:rPr>
          <w:rFonts w:asciiTheme="minorHAnsi" w:hAnsiTheme="minorHAnsi" w:cstheme="minorHAnsi"/>
          <w:sz w:val="22"/>
          <w:szCs w:val="22"/>
        </w:rPr>
        <w:t xml:space="preserve"> Last year’s IB Workgroup settled on adopting MSU’s policy to be more competitive.  UM could consider a broader policy by accepting standard level exams in Political Science, Business, Psychology, Physics, and Environmental Studies.  Those departments will need to make the determination.  </w:t>
      </w:r>
      <w:r w:rsidR="002E63B0" w:rsidRPr="00337288">
        <w:rPr>
          <w:rFonts w:asciiTheme="minorHAnsi" w:hAnsiTheme="minorHAnsi" w:cstheme="minorHAnsi"/>
          <w:sz w:val="22"/>
          <w:szCs w:val="22"/>
        </w:rPr>
        <w:br/>
      </w:r>
      <w:bookmarkStart w:id="0" w:name="_GoBack"/>
      <w:bookmarkEnd w:id="0"/>
      <w:r w:rsidR="002E63B0" w:rsidRPr="00337288">
        <w:rPr>
          <w:rFonts w:asciiTheme="minorHAnsi" w:hAnsiTheme="minorHAnsi" w:cstheme="minorHAnsi"/>
          <w:sz w:val="22"/>
          <w:szCs w:val="22"/>
        </w:rPr>
        <w:br/>
      </w:r>
      <w:r w:rsidR="00337288" w:rsidRPr="00337288">
        <w:rPr>
          <w:rFonts w:asciiTheme="minorHAnsi" w:hAnsiTheme="minorHAnsi" w:cstheme="minorHAnsi"/>
          <w:sz w:val="22"/>
          <w:szCs w:val="22"/>
        </w:rPr>
        <w:t>A subcommittee was established to deal with issues related to IB, Dual Enrollment and PLA.  Members include Professors Weix and Missett, Associate Provost Lindsay, Jordan Patterson, the Dual Enrollment Coordinator will be asked to join the subcommittee.  Chair Coffin will also ask Professor Bridges, who is very involved in the Health Science Pathway Program at Big Sky High School.</w:t>
      </w:r>
    </w:p>
    <w:p w14:paraId="37D8A8C3" w14:textId="782AC4B3" w:rsidR="002E63B0" w:rsidRDefault="002E63B0" w:rsidP="00337288">
      <w:pPr>
        <w:pStyle w:val="ListParagraph"/>
      </w:pPr>
    </w:p>
    <w:p w14:paraId="0B4D460F" w14:textId="0DCF0361" w:rsidR="0017113A" w:rsidRPr="0017113A" w:rsidRDefault="0017113A" w:rsidP="002E63B0">
      <w:pPr>
        <w:pStyle w:val="ListParagraph"/>
      </w:pPr>
    </w:p>
    <w:p w14:paraId="5788C0C1" w14:textId="14510E67" w:rsidR="00260E8E" w:rsidRDefault="00BB37EF" w:rsidP="004B380A">
      <w:pPr>
        <w:pStyle w:val="Heading2"/>
      </w:pPr>
      <w:r>
        <w:t>Business Items</w:t>
      </w:r>
    </w:p>
    <w:p w14:paraId="7286BDAF" w14:textId="44F6FCBC" w:rsidR="005656F7" w:rsidRDefault="005656F7" w:rsidP="00816302">
      <w:pPr>
        <w:pStyle w:val="ListParagraph"/>
        <w:spacing w:after="0" w:line="240" w:lineRule="auto"/>
        <w:ind w:left="360"/>
        <w:contextualSpacing w:val="0"/>
        <w:rPr>
          <w:rFonts w:cs="Arial"/>
        </w:rPr>
      </w:pPr>
    </w:p>
    <w:p w14:paraId="74941538" w14:textId="7072799A" w:rsidR="007D49D0" w:rsidRDefault="00F53C64" w:rsidP="00F53C64">
      <w:pPr>
        <w:pStyle w:val="ListParagraph"/>
        <w:numPr>
          <w:ilvl w:val="0"/>
          <w:numId w:val="40"/>
        </w:numPr>
        <w:rPr>
          <w:rFonts w:cs="Arial"/>
        </w:rPr>
      </w:pPr>
      <w:r>
        <w:rPr>
          <w:rFonts w:cs="Arial"/>
        </w:rPr>
        <w:t xml:space="preserve">The </w:t>
      </w:r>
      <w:r w:rsidR="002E63B0">
        <w:rPr>
          <w:rFonts w:cs="Arial"/>
        </w:rPr>
        <w:t xml:space="preserve">revised </w:t>
      </w:r>
      <w:r>
        <w:rPr>
          <w:rFonts w:cs="Arial"/>
        </w:rPr>
        <w:t xml:space="preserve">PLA Procedure </w:t>
      </w:r>
      <w:proofErr w:type="gramStart"/>
      <w:r w:rsidR="004E7596">
        <w:rPr>
          <w:rFonts w:cs="Arial"/>
        </w:rPr>
        <w:t>was</w:t>
      </w:r>
      <w:r w:rsidR="002E63B0">
        <w:rPr>
          <w:rFonts w:cs="Arial"/>
        </w:rPr>
        <w:t xml:space="preserve"> approved</w:t>
      </w:r>
      <w:proofErr w:type="gramEnd"/>
      <w:r w:rsidR="004E7596">
        <w:rPr>
          <w:rFonts w:cs="Arial"/>
        </w:rPr>
        <w:t xml:space="preserve"> (appended)</w:t>
      </w:r>
      <w:r w:rsidR="002E63B0">
        <w:rPr>
          <w:rFonts w:cs="Arial"/>
        </w:rPr>
        <w:t xml:space="preserve">.  </w:t>
      </w:r>
      <w:r w:rsidR="00CC423F" w:rsidRPr="00337288">
        <w:rPr>
          <w:rFonts w:cs="Arial"/>
        </w:rPr>
        <w:t>The committee recommends that the administration post the parent document (to the condensed Faculty Senate PLA policy) prepared by Prof. Lodmell on the UM web site because it contains extensive, important PLA information.</w:t>
      </w:r>
    </w:p>
    <w:p w14:paraId="2B4234B1" w14:textId="77777777" w:rsidR="004C7B68" w:rsidRDefault="004C7B68" w:rsidP="004C7B68">
      <w:pPr>
        <w:pStyle w:val="ListParagraph"/>
        <w:ind w:left="360"/>
        <w:rPr>
          <w:rFonts w:cs="Arial"/>
        </w:rPr>
      </w:pPr>
    </w:p>
    <w:p w14:paraId="0BABF325" w14:textId="40511777" w:rsidR="00052E53" w:rsidRDefault="004C7B68" w:rsidP="00220795">
      <w:pPr>
        <w:pStyle w:val="ListParagraph"/>
        <w:numPr>
          <w:ilvl w:val="0"/>
          <w:numId w:val="40"/>
        </w:numPr>
        <w:rPr>
          <w:rFonts w:cs="Arial"/>
        </w:rPr>
      </w:pPr>
      <w:r w:rsidRPr="004C7B68">
        <w:rPr>
          <w:rFonts w:cs="Arial"/>
        </w:rPr>
        <w:lastRenderedPageBreak/>
        <w:t xml:space="preserve">The Cultural Hardship group will have a draft by the next meeting. </w:t>
      </w:r>
    </w:p>
    <w:p w14:paraId="0B509525" w14:textId="77777777" w:rsidR="004C7B68" w:rsidRPr="004C7B68" w:rsidRDefault="004C7B68" w:rsidP="004C7B68">
      <w:pPr>
        <w:pStyle w:val="ListParagraph"/>
        <w:rPr>
          <w:rFonts w:cs="Arial"/>
        </w:rPr>
      </w:pPr>
    </w:p>
    <w:p w14:paraId="01FE13F7" w14:textId="35E1A8FB" w:rsidR="004C7B68" w:rsidRPr="004C7B68" w:rsidRDefault="004C7B68" w:rsidP="00220795">
      <w:pPr>
        <w:pStyle w:val="ListParagraph"/>
        <w:numPr>
          <w:ilvl w:val="0"/>
          <w:numId w:val="40"/>
        </w:numPr>
        <w:rPr>
          <w:rFonts w:cs="Arial"/>
        </w:rPr>
      </w:pPr>
      <w:r>
        <w:rPr>
          <w:rFonts w:cs="Arial"/>
        </w:rPr>
        <w:t xml:space="preserve">There is still no interest in the Chair-Elect position.  </w:t>
      </w:r>
    </w:p>
    <w:p w14:paraId="79C8BBC1" w14:textId="77777777" w:rsidR="00CC423F" w:rsidRDefault="00CC423F" w:rsidP="00CC423F">
      <w:pPr>
        <w:pStyle w:val="ListParagraph"/>
        <w:ind w:left="360"/>
        <w:rPr>
          <w:rFonts w:cs="Arial"/>
        </w:rPr>
      </w:pPr>
    </w:p>
    <w:p w14:paraId="7BF8802F" w14:textId="20F859A9" w:rsidR="004C7B68" w:rsidRDefault="004C7B68" w:rsidP="00052E53">
      <w:pPr>
        <w:pStyle w:val="ListParagraph"/>
        <w:numPr>
          <w:ilvl w:val="0"/>
          <w:numId w:val="40"/>
        </w:numPr>
        <w:rPr>
          <w:rFonts w:cs="Arial"/>
        </w:rPr>
      </w:pPr>
      <w:r>
        <w:rPr>
          <w:rFonts w:cs="Arial"/>
        </w:rPr>
        <w:t xml:space="preserve">Chair Coffin is setting up a meeting with the General Education Committee Chair and the appellants to discuss the review process. </w:t>
      </w:r>
    </w:p>
    <w:p w14:paraId="72946E86" w14:textId="77777777" w:rsidR="004C7B68" w:rsidRDefault="004C7B68" w:rsidP="004C7B68">
      <w:pPr>
        <w:pStyle w:val="ListParagraph"/>
        <w:ind w:left="360"/>
        <w:rPr>
          <w:rFonts w:cs="Arial"/>
        </w:rPr>
      </w:pPr>
    </w:p>
    <w:p w14:paraId="3EE5A189" w14:textId="6296B3AA" w:rsidR="00272707" w:rsidRPr="00CC423F" w:rsidRDefault="00CC423F" w:rsidP="00CC423F">
      <w:pPr>
        <w:pStyle w:val="ListParagraph"/>
        <w:numPr>
          <w:ilvl w:val="0"/>
          <w:numId w:val="40"/>
        </w:numPr>
        <w:rPr>
          <w:rFonts w:cs="Arial"/>
        </w:rPr>
      </w:pPr>
      <w:r w:rsidRPr="00052E53">
        <w:rPr>
          <w:rFonts w:cs="Arial"/>
        </w:rPr>
        <w:t>Chair Coffin was hoping to ha</w:t>
      </w:r>
      <w:r>
        <w:rPr>
          <w:rFonts w:cs="Arial"/>
        </w:rPr>
        <w:t>v</w:t>
      </w:r>
      <w:r w:rsidRPr="00052E53">
        <w:rPr>
          <w:rFonts w:cs="Arial"/>
        </w:rPr>
        <w:t>e students</w:t>
      </w:r>
      <w:r>
        <w:rPr>
          <w:rFonts w:cs="Arial"/>
        </w:rPr>
        <w:t xml:space="preserve"> collaborate on </w:t>
      </w:r>
      <w:r w:rsidRPr="00052E53">
        <w:rPr>
          <w:rFonts w:cs="Arial"/>
        </w:rPr>
        <w:t>the resolution</w:t>
      </w:r>
      <w:r>
        <w:rPr>
          <w:rFonts w:cs="Arial"/>
        </w:rPr>
        <w:t xml:space="preserve"> setting student success as the committee’s priority for the year.  </w:t>
      </w:r>
      <w:r w:rsidR="004C7B68" w:rsidRPr="00CC423F">
        <w:rPr>
          <w:rFonts w:cs="Arial"/>
        </w:rPr>
        <w:t xml:space="preserve">Student member </w:t>
      </w:r>
      <w:proofErr w:type="spellStart"/>
      <w:r w:rsidR="004C7B68">
        <w:t>Antillie</w:t>
      </w:r>
      <w:proofErr w:type="spellEnd"/>
      <w:r w:rsidR="004C7B68">
        <w:t xml:space="preserve"> joined the Student Success Workgroup.  It is working on a resolution </w:t>
      </w:r>
      <w:r w:rsidR="00A31B4E">
        <w:t xml:space="preserve">that provides rationale for the committee’s focus on student success.   The draft starts with Montana’s constitutional mandate as a public university.  Chair Coffin would like another faculty member to serve on the committee.   It may be necessary to define student success and a standard for a 21’century education. </w:t>
      </w:r>
      <w:r w:rsidR="00F847C0" w:rsidRPr="00CC423F">
        <w:rPr>
          <w:rFonts w:cs="Arial"/>
        </w:rPr>
        <w:br/>
      </w:r>
    </w:p>
    <w:p w14:paraId="0A72E9C7" w14:textId="76D2F745" w:rsidR="00272707" w:rsidRDefault="00272707" w:rsidP="0098304F">
      <w:pPr>
        <w:pStyle w:val="Heading2"/>
      </w:pPr>
      <w:r>
        <w:t>Good and Welfare</w:t>
      </w:r>
    </w:p>
    <w:p w14:paraId="16651485" w14:textId="3ED0EEEF" w:rsidR="00052E53" w:rsidRDefault="00052E53" w:rsidP="00052E53"/>
    <w:p w14:paraId="706B1EA3" w14:textId="3613B628" w:rsidR="00052E53" w:rsidRPr="00052E53" w:rsidRDefault="00A31B4E" w:rsidP="00052E53">
      <w:pPr>
        <w:pStyle w:val="ListParagraph"/>
        <w:numPr>
          <w:ilvl w:val="0"/>
          <w:numId w:val="43"/>
        </w:numPr>
      </w:pPr>
      <w:r>
        <w:t xml:space="preserve">Associate Provost Lindsay </w:t>
      </w:r>
      <w:r w:rsidR="00337288">
        <w:t xml:space="preserve">will send the invitation to the </w:t>
      </w:r>
      <w:r>
        <w:t xml:space="preserve">Complete College America Conference October </w:t>
      </w:r>
      <w:proofErr w:type="gramStart"/>
      <w:r>
        <w:t>25</w:t>
      </w:r>
      <w:r w:rsidRPr="00A31B4E">
        <w:rPr>
          <w:vertAlign w:val="superscript"/>
        </w:rPr>
        <w:t>th</w:t>
      </w:r>
      <w:proofErr w:type="gramEnd"/>
      <w:r w:rsidR="00337288">
        <w:t xml:space="preserve"> to committee members.</w:t>
      </w:r>
      <w:r>
        <w:t xml:space="preserve"> </w:t>
      </w:r>
    </w:p>
    <w:p w14:paraId="757F2512" w14:textId="77777777" w:rsidR="00272707" w:rsidRDefault="00272707" w:rsidP="00272707">
      <w:pPr>
        <w:spacing w:after="0" w:line="240" w:lineRule="auto"/>
        <w:rPr>
          <w:rFonts w:cs="Arial"/>
        </w:rPr>
      </w:pPr>
    </w:p>
    <w:p w14:paraId="7E542301" w14:textId="2550E184" w:rsidR="00BE64F2" w:rsidRDefault="007D13B0">
      <w:r>
        <w:t xml:space="preserve">The meeting </w:t>
      </w:r>
      <w:proofErr w:type="gramStart"/>
      <w:r>
        <w:t>was adjourned</w:t>
      </w:r>
      <w:proofErr w:type="gramEnd"/>
      <w:r>
        <w:t xml:space="preserve"> at </w:t>
      </w:r>
      <w:r w:rsidR="004C7B68">
        <w:t>2:50</w:t>
      </w:r>
      <w:r w:rsidR="004C3DFE">
        <w:t xml:space="preserve"> </w:t>
      </w:r>
      <w:r>
        <w:t>p.m.</w:t>
      </w:r>
    </w:p>
    <w:p w14:paraId="75451384" w14:textId="760AADF4" w:rsidR="004C7B68" w:rsidRDefault="004C7B68"/>
    <w:p w14:paraId="12C0655A" w14:textId="79FCDCF9" w:rsidR="004C7B68" w:rsidRDefault="004C7B68"/>
    <w:p w14:paraId="0C0BAAB2" w14:textId="77777777" w:rsidR="004C7B68" w:rsidRDefault="004C7B68" w:rsidP="004C7B68">
      <w:pPr>
        <w:pStyle w:val="Title"/>
        <w:ind w:firstLine="0"/>
        <w:jc w:val="both"/>
        <w:rPr>
          <w:noProof/>
          <w:sz w:val="36"/>
          <w:szCs w:val="36"/>
        </w:rPr>
      </w:pPr>
      <w:r w:rsidRPr="008D04BF">
        <w:rPr>
          <w:noProof/>
          <w:sz w:val="36"/>
          <w:szCs w:val="36"/>
        </w:rPr>
        <w:drawing>
          <wp:anchor distT="0" distB="0" distL="114300" distR="114300" simplePos="0" relativeHeight="251659264" behindDoc="1" locked="0" layoutInCell="1" allowOverlap="1" wp14:anchorId="53301A01" wp14:editId="776289BA">
            <wp:simplePos x="0" y="0"/>
            <wp:positionH relativeFrom="column">
              <wp:posOffset>4522470</wp:posOffset>
            </wp:positionH>
            <wp:positionV relativeFrom="paragraph">
              <wp:posOffset>223347</wp:posOffset>
            </wp:positionV>
            <wp:extent cx="1514475" cy="419100"/>
            <wp:effectExtent l="0" t="0" r="9525" b="0"/>
            <wp:wrapTopAndBottom/>
            <wp:docPr id="8" name="Picture 4" descr="Description: FSonlly" title="Faculty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Sonlly"/>
                    <pic:cNvPicPr>
                      <a:picLocks noChangeAspect="1" noChangeArrowheads="1"/>
                    </pic:cNvPicPr>
                  </pic:nvPicPr>
                  <pic:blipFill>
                    <a:blip r:embed="rId5" cstate="print"/>
                    <a:srcRect/>
                    <a:stretch>
                      <a:fillRect/>
                    </a:stretch>
                  </pic:blipFill>
                  <pic:spPr bwMode="auto">
                    <a:xfrm>
                      <a:off x="0" y="0"/>
                      <a:ext cx="151447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D04BF">
        <w:rPr>
          <w:noProof/>
          <w:sz w:val="36"/>
          <w:szCs w:val="36"/>
        </w:rPr>
        <w:drawing>
          <wp:anchor distT="0" distB="0" distL="114300" distR="114300" simplePos="0" relativeHeight="251660288" behindDoc="1" locked="0" layoutInCell="1" allowOverlap="1" wp14:anchorId="1A4A9DF5" wp14:editId="3B9A7D5F">
            <wp:simplePos x="0" y="0"/>
            <wp:positionH relativeFrom="column">
              <wp:posOffset>-48895</wp:posOffset>
            </wp:positionH>
            <wp:positionV relativeFrom="paragraph">
              <wp:posOffset>167697</wp:posOffset>
            </wp:positionV>
            <wp:extent cx="4324985" cy="310515"/>
            <wp:effectExtent l="0" t="0" r="0" b="0"/>
            <wp:wrapTopAndBottom/>
            <wp:docPr id="1" name="Picture 1" descr="Description: umlogostretch450mw" title="The 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logostretch450m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985" cy="3105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6A035EC" w14:textId="77777777" w:rsidR="004C7B68" w:rsidRPr="008D04BF" w:rsidRDefault="004C7B68" w:rsidP="004C7B68">
      <w:pPr>
        <w:pStyle w:val="Title"/>
        <w:ind w:firstLine="0"/>
        <w:jc w:val="both"/>
        <w:rPr>
          <w:noProof/>
          <w:sz w:val="36"/>
          <w:szCs w:val="36"/>
        </w:rPr>
      </w:pPr>
      <w:r w:rsidRPr="008D04BF">
        <w:rPr>
          <w:noProof/>
          <w:sz w:val="36"/>
          <w:szCs w:val="36"/>
        </w:rPr>
        <w:t>Prior Learning Assessment (PLA) Guidelines</w:t>
      </w:r>
      <w:r>
        <w:rPr>
          <w:noProof/>
          <w:sz w:val="36"/>
          <w:szCs w:val="36"/>
        </w:rPr>
        <w:t xml:space="preserve"> to Accompany BOR Policy 301.19</w:t>
      </w:r>
    </w:p>
    <w:p w14:paraId="0A9AFFA3" w14:textId="1C888E8C" w:rsidR="004C7B68" w:rsidRDefault="004C7B68" w:rsidP="004C7B68">
      <w:pPr>
        <w:tabs>
          <w:tab w:val="left" w:pos="1620"/>
        </w:tabs>
        <w:rPr>
          <w:rFonts w:cs="Arial"/>
          <w:sz w:val="24"/>
          <w:szCs w:val="24"/>
        </w:rPr>
      </w:pPr>
      <w:r w:rsidRPr="00FD4D13">
        <w:rPr>
          <w:rStyle w:val="SubtleReference"/>
          <w:sz w:val="24"/>
          <w:szCs w:val="24"/>
        </w:rPr>
        <w:t>Procedure Number:</w:t>
      </w:r>
      <w:r w:rsidRPr="00FD4D13">
        <w:rPr>
          <w:rFonts w:cs="Arial"/>
          <w:noProof/>
          <w:sz w:val="24"/>
          <w:szCs w:val="24"/>
        </w:rPr>
        <w:tab/>
      </w:r>
      <w:r>
        <w:rPr>
          <w:rFonts w:cs="Arial"/>
          <w:noProof/>
          <w:sz w:val="24"/>
          <w:szCs w:val="24"/>
        </w:rPr>
        <w:t>203.20</w:t>
      </w:r>
      <w:r w:rsidRPr="00FD4D13">
        <w:rPr>
          <w:rFonts w:cs="Arial"/>
          <w:noProof/>
          <w:sz w:val="24"/>
          <w:szCs w:val="24"/>
        </w:rPr>
        <w:br/>
      </w:r>
      <w:r w:rsidRPr="00FD4D13">
        <w:rPr>
          <w:rStyle w:val="SubtleReference"/>
          <w:sz w:val="24"/>
          <w:szCs w:val="24"/>
        </w:rPr>
        <w:t xml:space="preserve">Date </w:t>
      </w:r>
      <w:proofErr w:type="gramStart"/>
      <w:r w:rsidRPr="00FD4D13">
        <w:rPr>
          <w:rStyle w:val="SubtleReference"/>
          <w:sz w:val="24"/>
          <w:szCs w:val="24"/>
        </w:rPr>
        <w:t>Adopted:</w:t>
      </w:r>
      <w:proofErr w:type="gramEnd"/>
      <w:r w:rsidRPr="00FD4D13">
        <w:rPr>
          <w:rStyle w:val="Heading2Char"/>
          <w:rFonts w:eastAsiaTheme="minorHAnsi"/>
        </w:rPr>
        <w:tab/>
      </w:r>
      <w:r w:rsidRPr="00FD4D13">
        <w:rPr>
          <w:rStyle w:val="Heading2Char"/>
          <w:rFonts w:eastAsiaTheme="minorHAnsi"/>
        </w:rPr>
        <w:tab/>
      </w:r>
      <w:r w:rsidRPr="00FD4D13">
        <w:rPr>
          <w:rFonts w:cs="Arial"/>
          <w:noProof/>
          <w:sz w:val="24"/>
          <w:szCs w:val="24"/>
        </w:rPr>
        <w:br/>
      </w:r>
      <w:r w:rsidRPr="00FD4D13">
        <w:rPr>
          <w:rStyle w:val="SubtleReference"/>
          <w:sz w:val="24"/>
          <w:szCs w:val="24"/>
        </w:rPr>
        <w:t>Last Revision:</w:t>
      </w:r>
      <w:r w:rsidRPr="00FD4D13">
        <w:rPr>
          <w:rStyle w:val="SubtleReference"/>
          <w:sz w:val="24"/>
          <w:szCs w:val="24"/>
        </w:rPr>
        <w:tab/>
      </w:r>
      <w:r w:rsidRPr="00FD4D13">
        <w:rPr>
          <w:rFonts w:cs="Arial"/>
          <w:noProof/>
          <w:sz w:val="24"/>
          <w:szCs w:val="24"/>
        </w:rPr>
        <w:tab/>
      </w:r>
      <w:r w:rsidRPr="00FD4D13">
        <w:rPr>
          <w:rFonts w:cs="Arial"/>
          <w:noProof/>
          <w:sz w:val="24"/>
          <w:szCs w:val="24"/>
        </w:rPr>
        <w:br/>
      </w:r>
      <w:r w:rsidRPr="00FD4D13">
        <w:rPr>
          <w:rStyle w:val="SubtleReference"/>
          <w:sz w:val="24"/>
          <w:szCs w:val="24"/>
        </w:rPr>
        <w:t>Approved by:</w:t>
      </w:r>
      <w:r w:rsidRPr="00FD4D13">
        <w:rPr>
          <w:rStyle w:val="Heading2Char"/>
          <w:rFonts w:eastAsiaTheme="minorHAnsi"/>
        </w:rPr>
        <w:t xml:space="preserve"> </w:t>
      </w:r>
      <w:r w:rsidRPr="00FD4D13">
        <w:rPr>
          <w:rStyle w:val="Heading2Char"/>
          <w:rFonts w:eastAsiaTheme="minorHAnsi"/>
        </w:rPr>
        <w:tab/>
      </w:r>
      <w:r w:rsidRPr="00FD4D13">
        <w:rPr>
          <w:rFonts w:cs="Arial"/>
          <w:noProof/>
          <w:sz w:val="24"/>
          <w:szCs w:val="24"/>
        </w:rPr>
        <w:tab/>
      </w:r>
      <w:r>
        <w:rPr>
          <w:rFonts w:cs="Arial"/>
          <w:noProof/>
          <w:sz w:val="24"/>
          <w:szCs w:val="24"/>
        </w:rPr>
        <w:br/>
      </w:r>
      <w:r w:rsidRPr="00B37E33">
        <w:rPr>
          <w:rStyle w:val="SubtleReference"/>
          <w:sz w:val="24"/>
          <w:szCs w:val="24"/>
        </w:rPr>
        <w:t>References:</w:t>
      </w:r>
      <w:r w:rsidRPr="006355F8">
        <w:rPr>
          <w:rStyle w:val="SubtleReference"/>
        </w:rPr>
        <w:t xml:space="preserve"> </w:t>
      </w:r>
      <w:r>
        <w:rPr>
          <w:rFonts w:cs="Arial"/>
          <w:noProof/>
          <w:sz w:val="24"/>
          <w:szCs w:val="24"/>
        </w:rPr>
        <w:tab/>
      </w:r>
      <w:r w:rsidRPr="008C77B8">
        <w:rPr>
          <w:rFonts w:cs="Arial"/>
          <w:noProof/>
        </w:rPr>
        <w:t>1</w:t>
      </w:r>
      <w:r>
        <w:rPr>
          <w:rFonts w:cs="Arial"/>
          <w:noProof/>
          <w:sz w:val="24"/>
          <w:szCs w:val="24"/>
        </w:rPr>
        <w:t>.</w:t>
      </w:r>
      <w:hyperlink r:id="rId7" w:history="1">
        <w:r w:rsidRPr="000C35A3">
          <w:rPr>
            <w:rStyle w:val="Hyperlink"/>
          </w:rPr>
          <w:t>Montana Board of Regents of Higher Education Policy 301.19</w:t>
        </w:r>
      </w:hyperlink>
      <w:r>
        <w:rPr>
          <w:rStyle w:val="Hyperlink"/>
        </w:rPr>
        <w:br/>
      </w:r>
      <w:r>
        <w:tab/>
        <w:t xml:space="preserve">2. </w:t>
      </w:r>
      <w:hyperlink r:id="rId8" w:history="1">
        <w:r w:rsidRPr="000C35A3">
          <w:rPr>
            <w:rStyle w:val="Hyperlink"/>
          </w:rPr>
          <w:t>Montana University System Prior Learning Assessment PLA</w:t>
        </w:r>
      </w:hyperlink>
      <w:r>
        <w:rPr>
          <w:rStyle w:val="Hyperlink"/>
        </w:rPr>
        <w:br/>
      </w:r>
      <w:r>
        <w:lastRenderedPageBreak/>
        <w:tab/>
        <w:t xml:space="preserve">3. </w:t>
      </w:r>
      <w:hyperlink r:id="rId9" w:history="1">
        <w:r w:rsidRPr="00B37E33">
          <w:rPr>
            <w:rStyle w:val="Hyperlink"/>
          </w:rPr>
          <w:t>MUS Prior Learning Assessment Expanded Policy Recommendations</w:t>
        </w:r>
      </w:hyperlink>
      <w:r>
        <w:t xml:space="preserve"> </w:t>
      </w:r>
      <w:r>
        <w:br/>
      </w:r>
      <w:r w:rsidRPr="003F47A2">
        <w:rPr>
          <w:i/>
        </w:rPr>
        <w:tab/>
      </w:r>
      <w:r>
        <w:t xml:space="preserve">4. </w:t>
      </w:r>
      <w:r w:rsidRPr="003F47A2">
        <w:t>MUS Faculty and Staff Prior Learning Assessment (PLA) Guide for Serving Studen</w:t>
      </w:r>
      <w:r>
        <w:t>t</w:t>
      </w:r>
    </w:p>
    <w:p w14:paraId="774DC689" w14:textId="68DD1417" w:rsidR="004C7B68" w:rsidRDefault="004C7B68" w:rsidP="004C7B68">
      <w:pPr>
        <w:pStyle w:val="Heading1"/>
        <w:jc w:val="both"/>
      </w:pPr>
      <w:r>
        <w:br/>
      </w:r>
      <w:r w:rsidRPr="00E67679">
        <w:rPr>
          <w:rStyle w:val="Heading2Char"/>
          <w:noProof/>
        </w:rPr>
        <mc:AlternateContent>
          <mc:Choice Requires="wps">
            <w:drawing>
              <wp:anchor distT="0" distB="0" distL="114300" distR="114300" simplePos="0" relativeHeight="251661312" behindDoc="1" locked="0" layoutInCell="0" allowOverlap="1" wp14:anchorId="30C87649" wp14:editId="503A44A4">
                <wp:simplePos x="0" y="0"/>
                <wp:positionH relativeFrom="column">
                  <wp:posOffset>-360045</wp:posOffset>
                </wp:positionH>
                <wp:positionV relativeFrom="paragraph">
                  <wp:posOffset>33655</wp:posOffset>
                </wp:positionV>
                <wp:extent cx="5991225" cy="0"/>
                <wp:effectExtent l="0" t="0" r="2857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090ACE5" id="Line 6" o:spid="_x0000_s1026" alt="Title: Seperation line"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2.65pt" to="443.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" o:allowincell="f" strokecolor="#6c324c" strokeweight="1.5pt"/>
            </w:pict>
          </mc:Fallback>
        </mc:AlternateContent>
      </w:r>
      <w:r w:rsidRPr="006876CA">
        <w:t>Intent of Document</w:t>
      </w:r>
    </w:p>
    <w:p w14:paraId="7DC66A0E" w14:textId="77777777" w:rsidR="004C7B68" w:rsidRPr="006876CA" w:rsidRDefault="004C7B68" w:rsidP="004C7B68">
      <w:pPr>
        <w:ind w:left="270"/>
        <w:jc w:val="both"/>
      </w:pPr>
      <w:r>
        <w:t>This document applies Montana University System (MUS) Board of Regents (BOR) Policy 301.19 to the University of Montana (UM; including Missoula College) to assess and award PLA credits, as equivalent to credits earned at the institution, for academic programs. PLA shall be offered in the UM course catalog and conducted in a timely, clear and concise manner according to UM policies and BOR 301.19. Detailed PLA information, potential opportunities for PLA credit (e.g. military service, apprenticeships, IB or AP exams, portfolio assessments, etc.), policies and procedures should be conspicuously posted, including applicable PLA fees and financial aid polices that are set by the administration.</w:t>
      </w:r>
    </w:p>
    <w:p w14:paraId="3FDF97B1" w14:textId="77777777" w:rsidR="004C7B68" w:rsidRDefault="004C7B68" w:rsidP="004C7B68">
      <w:pPr>
        <w:pStyle w:val="Heading1"/>
        <w:jc w:val="both"/>
      </w:pPr>
      <w:r>
        <w:t xml:space="preserve">Definition of PLA </w:t>
      </w:r>
    </w:p>
    <w:p w14:paraId="7FCB3DD5" w14:textId="77777777" w:rsidR="004C7B68" w:rsidRDefault="004C7B68" w:rsidP="004C7B68">
      <w:pPr>
        <w:ind w:left="270"/>
        <w:jc w:val="both"/>
      </w:pPr>
      <w:r w:rsidRPr="00347B23">
        <w:t xml:space="preserve">PLA </w:t>
      </w:r>
      <w:r>
        <w:t>represents validated methods</w:t>
      </w:r>
      <w:r w:rsidRPr="00347B23">
        <w:t xml:space="preserve"> </w:t>
      </w:r>
      <w:r>
        <w:t xml:space="preserve">for </w:t>
      </w:r>
      <w:r w:rsidRPr="00347B23">
        <w:t>student</w:t>
      </w:r>
      <w:r>
        <w:t>s</w:t>
      </w:r>
      <w:r w:rsidRPr="00347B23">
        <w:t xml:space="preserve"> to demo</w:t>
      </w:r>
      <w:r>
        <w:t>nstrate knowledge, competencies and</w:t>
      </w:r>
      <w:r w:rsidRPr="00347B23">
        <w:t xml:space="preserve"> skills </w:t>
      </w:r>
      <w:r w:rsidRPr="00372EA4">
        <w:t xml:space="preserve">acquired outside of </w:t>
      </w:r>
      <w:r>
        <w:t>the traditional college setting</w:t>
      </w:r>
      <w:r w:rsidRPr="00372EA4">
        <w:t xml:space="preserve"> </w:t>
      </w:r>
      <w:r>
        <w:t xml:space="preserve">to </w:t>
      </w:r>
      <w:proofErr w:type="gramStart"/>
      <w:r>
        <w:t xml:space="preserve">be </w:t>
      </w:r>
      <w:r w:rsidRPr="00347B23">
        <w:t>evaluated</w:t>
      </w:r>
      <w:proofErr w:type="gramEnd"/>
      <w:r w:rsidRPr="00347B23">
        <w:t xml:space="preserve"> </w:t>
      </w:r>
      <w:r>
        <w:t xml:space="preserve">as </w:t>
      </w:r>
      <w:r w:rsidRPr="00372EA4">
        <w:t>college</w:t>
      </w:r>
      <w:r>
        <w:t>-level learning</w:t>
      </w:r>
      <w:r w:rsidRPr="00347B23">
        <w:t xml:space="preserve"> </w:t>
      </w:r>
      <w:r>
        <w:t>that could earn</w:t>
      </w:r>
      <w:r w:rsidRPr="00347B23">
        <w:t xml:space="preserve"> college credit</w:t>
      </w:r>
      <w:r>
        <w:t xml:space="preserve">. </w:t>
      </w:r>
      <w:proofErr w:type="gramStart"/>
      <w:r w:rsidRPr="00BD164D">
        <w:t>PLA</w:t>
      </w:r>
      <w:r>
        <w:t xml:space="preserve"> credits may be earned by either</w:t>
      </w:r>
      <w:r w:rsidRPr="00BD164D">
        <w:t xml:space="preserve"> learning in a classroom</w:t>
      </w:r>
      <w:r>
        <w:t xml:space="preserve"> that is </w:t>
      </w:r>
      <w:r w:rsidRPr="00BD164D">
        <w:t>not within a</w:t>
      </w:r>
      <w:r>
        <w:t>n accredited two- or four-year institution or e</w:t>
      </w:r>
      <w:r w:rsidRPr="00BD164D">
        <w:t xml:space="preserve">xperiential </w:t>
      </w:r>
      <w:r>
        <w:t>“learning-b</w:t>
      </w:r>
      <w:r w:rsidRPr="00BD164D">
        <w:t>ased</w:t>
      </w:r>
      <w:r>
        <w:t>”</w:t>
      </w:r>
      <w:r w:rsidRPr="00BD164D">
        <w:t xml:space="preserve"> PLA </w:t>
      </w:r>
      <w:r>
        <w:t xml:space="preserve">that </w:t>
      </w:r>
      <w:r w:rsidRPr="00BD164D">
        <w:t>occurred outside of a traditional classroom setting</w:t>
      </w:r>
      <w:proofErr w:type="gramEnd"/>
      <w:r w:rsidRPr="00BD164D">
        <w:t>.</w:t>
      </w:r>
      <w:r>
        <w:t xml:space="preserve"> </w:t>
      </w:r>
    </w:p>
    <w:p w14:paraId="33102118" w14:textId="77777777" w:rsidR="004C7B68" w:rsidRDefault="004C7B68" w:rsidP="004C7B68">
      <w:pPr>
        <w:pStyle w:val="Heading1"/>
        <w:jc w:val="both"/>
        <w:rPr>
          <w:i/>
        </w:rPr>
      </w:pPr>
      <w:r>
        <w:t>Guidelines for Implementation of BOR 301.19 at UM</w:t>
      </w:r>
    </w:p>
    <w:p w14:paraId="0CD2745B" w14:textId="77777777" w:rsidR="004C7B68" w:rsidRDefault="004C7B68" w:rsidP="004C7B68">
      <w:pPr>
        <w:ind w:left="270"/>
        <w:jc w:val="both"/>
      </w:pPr>
      <w:r w:rsidRPr="00F90FD1">
        <w:t>The Provost is the UM chief administrative officer responsible for PLA at UM.</w:t>
      </w:r>
      <w:r>
        <w:t xml:space="preserve"> PLA academic governance shall be consistent with CBA 7.100 as shared governance using procedures, practices and precedents for UM Faculty Senate. Through this venue, UM shall ensure provision of sufficient resources, policies and information (including personnel training) </w:t>
      </w:r>
      <w:r w:rsidRPr="008A1600">
        <w:t>to assure a high quality, transparent, and consistent</w:t>
      </w:r>
      <w:r>
        <w:t xml:space="preserve"> process</w:t>
      </w:r>
      <w:r w:rsidRPr="008A1600">
        <w:t xml:space="preserve"> for evaluating and awarding PLA credit</w:t>
      </w:r>
      <w:r>
        <w:t>. The relevant training and PLA information shall include, but not be limited to:</w:t>
      </w:r>
    </w:p>
    <w:p w14:paraId="00C68A59" w14:textId="77777777" w:rsidR="004C7B68" w:rsidRDefault="004C7B68" w:rsidP="004C7B68">
      <w:pPr>
        <w:ind w:left="270"/>
        <w:jc w:val="both"/>
      </w:pPr>
      <w:r>
        <w:t xml:space="preserve"> </w:t>
      </w:r>
      <w:r>
        <w:tab/>
      </w:r>
    </w:p>
    <w:p w14:paraId="5BB63027" w14:textId="5DE61CD1" w:rsidR="004C7B68" w:rsidRPr="00F90FD1" w:rsidRDefault="004C7B68" w:rsidP="004C7B68">
      <w:pPr>
        <w:pStyle w:val="ListParagraph"/>
        <w:numPr>
          <w:ilvl w:val="0"/>
          <w:numId w:val="46"/>
        </w:numPr>
        <w:ind w:left="990"/>
        <w:jc w:val="both"/>
      </w:pPr>
      <w:r w:rsidRPr="00F90FD1">
        <w:t>ASCRC shall establish PLA standards and curriculum review subcommittee to review both experiential and instructional PLA policy, including but not limited t</w:t>
      </w:r>
      <w:r>
        <w:t>o: IB, AP</w:t>
      </w:r>
      <w:r w:rsidRPr="00F90FD1">
        <w:t>, CLEP, Dual enrollment, NCCRS, etc.</w:t>
      </w:r>
    </w:p>
    <w:p w14:paraId="77622E5E" w14:textId="77777777" w:rsidR="004C7B68" w:rsidRDefault="004C7B68" w:rsidP="004C7B68">
      <w:pPr>
        <w:ind w:left="990" w:hanging="720"/>
        <w:jc w:val="both"/>
      </w:pPr>
    </w:p>
    <w:p w14:paraId="0C99CE87" w14:textId="5E3CB111" w:rsidR="004C7B68" w:rsidRDefault="004C7B68" w:rsidP="004C7B68">
      <w:pPr>
        <w:pStyle w:val="ListParagraph"/>
        <w:numPr>
          <w:ilvl w:val="0"/>
          <w:numId w:val="46"/>
        </w:numPr>
        <w:ind w:left="990"/>
        <w:jc w:val="both"/>
      </w:pPr>
      <w:r>
        <w:t xml:space="preserve">Designation and training of faculty for both PLA assessment and academic advising may be at either the institutional, college, school or department/unit level. Each UM academic program shall adopt or develop a PLA process with assessment that is developed and applied by the department/unit administering and awarding the terminal degree for the academic program where the PLA credits </w:t>
      </w:r>
      <w:proofErr w:type="gramStart"/>
      <w:r>
        <w:t>are applied</w:t>
      </w:r>
      <w:proofErr w:type="gramEnd"/>
      <w:r>
        <w:t xml:space="preserve"> toward the degree. The policy must ensure that </w:t>
      </w:r>
      <w:proofErr w:type="gramStart"/>
      <w:r>
        <w:t xml:space="preserve">PLA requirements are met </w:t>
      </w:r>
      <w:r w:rsidRPr="00347B23">
        <w:t xml:space="preserve">by </w:t>
      </w:r>
      <w:r>
        <w:t xml:space="preserve">the student </w:t>
      </w:r>
      <w:r w:rsidRPr="00347B23">
        <w:t>successfully passing an appropriately r</w:t>
      </w:r>
      <w:r>
        <w:t xml:space="preserve">igorous </w:t>
      </w:r>
      <w:r>
        <w:lastRenderedPageBreak/>
        <w:t>assessment</w:t>
      </w:r>
      <w:proofErr w:type="gramEnd"/>
      <w:r>
        <w:t>. All academic advising shall include PLA, and the assessors shall be UM f</w:t>
      </w:r>
      <w:r w:rsidRPr="005E4987">
        <w:t>acul</w:t>
      </w:r>
      <w:r>
        <w:t xml:space="preserve">ty </w:t>
      </w:r>
      <w:r w:rsidRPr="005E4987">
        <w:t>with subject matter expertise in the conte</w:t>
      </w:r>
      <w:r>
        <w:t xml:space="preserve">nt area or discipline where the PLA assessment </w:t>
      </w:r>
      <w:proofErr w:type="gramStart"/>
      <w:r>
        <w:t>is being conducted</w:t>
      </w:r>
      <w:proofErr w:type="gramEnd"/>
      <w:r>
        <w:t xml:space="preserve"> and the policies applied.</w:t>
      </w:r>
    </w:p>
    <w:p w14:paraId="0394C69F" w14:textId="77777777" w:rsidR="004C7B68" w:rsidRDefault="004C7B68" w:rsidP="004C7B68">
      <w:pPr>
        <w:ind w:left="990" w:hanging="720"/>
        <w:jc w:val="both"/>
      </w:pPr>
    </w:p>
    <w:p w14:paraId="7D94705D" w14:textId="24F0D517" w:rsidR="004C7B68" w:rsidRDefault="004C7B68" w:rsidP="004C7B68">
      <w:pPr>
        <w:pStyle w:val="ListParagraph"/>
        <w:numPr>
          <w:ilvl w:val="0"/>
          <w:numId w:val="46"/>
        </w:numPr>
        <w:ind w:left="990"/>
        <w:jc w:val="both"/>
      </w:pPr>
      <w:r w:rsidRPr="005B1B32">
        <w:t xml:space="preserve">PLA credits do not count toward the minimum number of credits that must be completed at UM in </w:t>
      </w:r>
      <w:r>
        <w:t xml:space="preserve">to earn a degree from </w:t>
      </w:r>
      <w:proofErr w:type="gramStart"/>
      <w:r>
        <w:t>UM and UM PLA must comply with Northwest Council on Colleges and Universities (</w:t>
      </w:r>
      <w:r w:rsidRPr="00BD164D">
        <w:t>NWCCU</w:t>
      </w:r>
      <w:r>
        <w:t>)</w:t>
      </w:r>
      <w:proofErr w:type="gramEnd"/>
      <w:r>
        <w:t xml:space="preserve"> and UM policies directing the quantitative limits for application of experiential and instructional PLA credits required for a degree of certificate. </w:t>
      </w:r>
    </w:p>
    <w:p w14:paraId="42A79F3D" w14:textId="77777777" w:rsidR="004C7B68" w:rsidRDefault="004C7B68" w:rsidP="004C7B68">
      <w:pPr>
        <w:ind w:left="990" w:hanging="720"/>
        <w:jc w:val="both"/>
      </w:pPr>
    </w:p>
    <w:p w14:paraId="3394BFF4" w14:textId="5CADA4CD" w:rsidR="004C7B68" w:rsidRDefault="004C7B68" w:rsidP="004C7B68">
      <w:pPr>
        <w:pStyle w:val="ListParagraph"/>
        <w:numPr>
          <w:ilvl w:val="0"/>
          <w:numId w:val="46"/>
        </w:numPr>
        <w:ind w:left="990"/>
        <w:jc w:val="both"/>
      </w:pPr>
      <w:r>
        <w:t xml:space="preserve">Student Eligibility: Students must be fully ADMITTED to UM, not prospective. All transfer credits and transcripts must be official, evaluated and current. The student must be in good academic standing, not on academic probation. No PLA credits shall be awarded when the student is currently enrolled in, or has previously audited or </w:t>
      </w:r>
      <w:proofErr w:type="gramStart"/>
      <w:r>
        <w:t>completed,</w:t>
      </w:r>
      <w:proofErr w:type="gramEnd"/>
      <w:r>
        <w:t xml:space="preserve"> the course.</w:t>
      </w:r>
    </w:p>
    <w:p w14:paraId="6C94B07B" w14:textId="77777777" w:rsidR="004C7B68" w:rsidRDefault="004C7B68" w:rsidP="004C7B68">
      <w:pPr>
        <w:ind w:left="990" w:hanging="720"/>
        <w:jc w:val="both"/>
      </w:pPr>
    </w:p>
    <w:p w14:paraId="1F434B68" w14:textId="1AF83F19" w:rsidR="004C7B68" w:rsidRDefault="004C7B68" w:rsidP="004C7B68">
      <w:pPr>
        <w:pStyle w:val="ListParagraph"/>
        <w:numPr>
          <w:ilvl w:val="0"/>
          <w:numId w:val="46"/>
        </w:numPr>
        <w:ind w:left="990"/>
        <w:jc w:val="both"/>
      </w:pPr>
      <w:r>
        <w:t xml:space="preserve">Testing and Grading policies: Must comply with existing UM polices (in the applicable UM catalog) and be consistent with the applicable academic program requirements, the UM catalog course description and the current syllabus where the PLA credit application is pending and being assessed. On that </w:t>
      </w:r>
      <w:proofErr w:type="gramStart"/>
      <w:r>
        <w:t>basis</w:t>
      </w:r>
      <w:proofErr w:type="gramEnd"/>
      <w:r>
        <w:t xml:space="preserve"> a student application may request a specific type of grade (CR/NCR or letter) and specific application of the PLA credits toward the degree requirements. </w:t>
      </w:r>
    </w:p>
    <w:p w14:paraId="73B09DD5" w14:textId="77777777" w:rsidR="004C7B68" w:rsidRDefault="004C7B68" w:rsidP="004C7B68">
      <w:pPr>
        <w:ind w:left="990" w:hanging="720"/>
        <w:jc w:val="both"/>
      </w:pPr>
    </w:p>
    <w:p w14:paraId="59A3F867" w14:textId="2AE2B771" w:rsidR="004C7B68" w:rsidRPr="004D7817" w:rsidRDefault="004C7B68" w:rsidP="004C7B68">
      <w:pPr>
        <w:pStyle w:val="ListParagraph"/>
        <w:numPr>
          <w:ilvl w:val="0"/>
          <w:numId w:val="46"/>
        </w:numPr>
        <w:ind w:left="990"/>
        <w:jc w:val="both"/>
      </w:pPr>
      <w:r w:rsidRPr="004D7817">
        <w:t xml:space="preserve">Transcription: </w:t>
      </w:r>
    </w:p>
    <w:p w14:paraId="027D635C" w14:textId="6C70E151" w:rsidR="004C7B68" w:rsidRPr="004D7817" w:rsidRDefault="004C7B68" w:rsidP="004C7B68">
      <w:pPr>
        <w:pStyle w:val="ListParagraph"/>
        <w:numPr>
          <w:ilvl w:val="0"/>
          <w:numId w:val="47"/>
        </w:numPr>
        <w:ind w:left="1710"/>
        <w:jc w:val="both"/>
      </w:pPr>
      <w:r>
        <w:t>PLA c</w:t>
      </w:r>
      <w:r w:rsidRPr="004D7817">
        <w:t xml:space="preserve">redits PLA shall be identifiable on the student’s transcript using MUS/UM </w:t>
      </w:r>
      <w:proofErr w:type="gramStart"/>
      <w:r>
        <w:t>codes,</w:t>
      </w:r>
      <w:proofErr w:type="gramEnd"/>
      <w:r>
        <w:t xml:space="preserve"> they are fully transferable and not calculated into the </w:t>
      </w:r>
      <w:r w:rsidRPr="004D7817">
        <w:t xml:space="preserve">student’s grade point average (GPA). </w:t>
      </w:r>
    </w:p>
    <w:p w14:paraId="1F596F08" w14:textId="2263CEFE" w:rsidR="004C7B68" w:rsidRPr="004D7817" w:rsidRDefault="004C7B68" w:rsidP="004C7B68">
      <w:pPr>
        <w:pStyle w:val="ListParagraph"/>
        <w:numPr>
          <w:ilvl w:val="0"/>
          <w:numId w:val="47"/>
        </w:numPr>
        <w:ind w:left="1710"/>
        <w:jc w:val="both"/>
      </w:pPr>
      <w:r w:rsidRPr="004D7817">
        <w:t xml:space="preserve">If PLA credit </w:t>
      </w:r>
      <w:proofErr w:type="gramStart"/>
      <w:r w:rsidRPr="004D7817">
        <w:t>is denied</w:t>
      </w:r>
      <w:proofErr w:type="gramEnd"/>
      <w:r w:rsidRPr="004D7817">
        <w:t xml:space="preserve">, the attempted PLA credit is not recorded on the transcript. </w:t>
      </w:r>
    </w:p>
    <w:p w14:paraId="450538A3" w14:textId="56B9375A" w:rsidR="004C7B68" w:rsidRPr="004D7817" w:rsidRDefault="004C7B68" w:rsidP="004C7B68">
      <w:pPr>
        <w:pStyle w:val="ListParagraph"/>
        <w:numPr>
          <w:ilvl w:val="0"/>
          <w:numId w:val="47"/>
        </w:numPr>
        <w:ind w:left="1710"/>
        <w:jc w:val="both"/>
      </w:pPr>
      <w:r w:rsidRPr="004D7817">
        <w:t xml:space="preserve">PLA credits earned </w:t>
      </w:r>
      <w:proofErr w:type="gramStart"/>
      <w:r w:rsidRPr="004D7817">
        <w:t>shall be entered</w:t>
      </w:r>
      <w:proofErr w:type="gramEnd"/>
      <w:r w:rsidRPr="004D7817">
        <w:t xml:space="preserve"> into the “Transfer Credit” portion of the transcript and not count toward the credit load for the current semester.  However, the codes used to record the PLA credit shall reflect the course rubric and the semester and year in which the credit </w:t>
      </w:r>
      <w:proofErr w:type="gramStart"/>
      <w:r w:rsidRPr="004D7817">
        <w:t>was awarded</w:t>
      </w:r>
      <w:proofErr w:type="gramEnd"/>
      <w:r w:rsidRPr="004D7817">
        <w:t xml:space="preserve">. </w:t>
      </w:r>
    </w:p>
    <w:p w14:paraId="745A8E91" w14:textId="4501DE3F" w:rsidR="004C7B68" w:rsidRDefault="004C7B68" w:rsidP="004C7B68">
      <w:pPr>
        <w:pStyle w:val="ListParagraph"/>
        <w:numPr>
          <w:ilvl w:val="0"/>
          <w:numId w:val="47"/>
        </w:numPr>
        <w:ind w:left="1710"/>
        <w:jc w:val="both"/>
      </w:pPr>
      <w:r w:rsidRPr="004D7817">
        <w:t>Credits earned via portfolio assessment for prior learning shall count toward the calculation of a student’s Satisfactory Academic Progress (SAP).  However, if PLA credits are attempted but, after assessment, are not allocated, these credits are not counted as “credits attempted” for that semester, because the learning actually occurred at a previous time.</w:t>
      </w:r>
      <w:r>
        <w:t xml:space="preserve"> </w:t>
      </w:r>
    </w:p>
    <w:p w14:paraId="511C4A35" w14:textId="77777777" w:rsidR="004C7B68" w:rsidRDefault="004C7B68" w:rsidP="004C7B68">
      <w:pPr>
        <w:ind w:left="990" w:hanging="720"/>
        <w:jc w:val="both"/>
      </w:pPr>
    </w:p>
    <w:p w14:paraId="74B62DE5" w14:textId="465C9CF3" w:rsidR="004C7B68" w:rsidRDefault="004C7B68" w:rsidP="004C7B68">
      <w:pPr>
        <w:pStyle w:val="ListParagraph"/>
        <w:numPr>
          <w:ilvl w:val="0"/>
          <w:numId w:val="46"/>
        </w:numPr>
        <w:ind w:left="990"/>
      </w:pPr>
      <w:r>
        <w:lastRenderedPageBreak/>
        <w:t>Appeal: Should a student be denied PLA credit after assessment, the student shall have the right to appeal the decision consistent with the rights, policies and procedures regularly available to a student: a. to</w:t>
      </w:r>
    </w:p>
    <w:sectPr w:rsidR="004C7B68" w:rsidSect="0066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9F1113"/>
    <w:multiLevelType w:val="multilevel"/>
    <w:tmpl w:val="84AAE9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42415"/>
    <w:multiLevelType w:val="hybridMultilevel"/>
    <w:tmpl w:val="D640C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965C8"/>
    <w:multiLevelType w:val="hybridMultilevel"/>
    <w:tmpl w:val="E356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0062"/>
    <w:multiLevelType w:val="multilevel"/>
    <w:tmpl w:val="D4C41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6A6465"/>
    <w:multiLevelType w:val="hybridMultilevel"/>
    <w:tmpl w:val="A134D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6878C1"/>
    <w:multiLevelType w:val="hybridMultilevel"/>
    <w:tmpl w:val="9D4E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557C34"/>
    <w:multiLevelType w:val="hybridMultilevel"/>
    <w:tmpl w:val="6AF6DD00"/>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A9F6A3A"/>
    <w:multiLevelType w:val="hybridMultilevel"/>
    <w:tmpl w:val="FD3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B3315"/>
    <w:multiLevelType w:val="hybridMultilevel"/>
    <w:tmpl w:val="F9C4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3B1D3A"/>
    <w:multiLevelType w:val="hybridMultilevel"/>
    <w:tmpl w:val="C9F0784E"/>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22E26DFE"/>
    <w:multiLevelType w:val="multilevel"/>
    <w:tmpl w:val="07242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AD1B50"/>
    <w:multiLevelType w:val="hybridMultilevel"/>
    <w:tmpl w:val="118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51CA8"/>
    <w:multiLevelType w:val="hybridMultilevel"/>
    <w:tmpl w:val="390C0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EE7DE0"/>
    <w:multiLevelType w:val="hybridMultilevel"/>
    <w:tmpl w:val="C21E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542D4C"/>
    <w:multiLevelType w:val="hybridMultilevel"/>
    <w:tmpl w:val="DB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24469C"/>
    <w:multiLevelType w:val="hybridMultilevel"/>
    <w:tmpl w:val="2DE4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95189B"/>
    <w:multiLevelType w:val="hybridMultilevel"/>
    <w:tmpl w:val="596E5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7E2C45"/>
    <w:multiLevelType w:val="hybridMultilevel"/>
    <w:tmpl w:val="10FE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824077"/>
    <w:multiLevelType w:val="hybridMultilevel"/>
    <w:tmpl w:val="89BA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43654"/>
    <w:multiLevelType w:val="hybridMultilevel"/>
    <w:tmpl w:val="54D4D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1D37AC"/>
    <w:multiLevelType w:val="hybridMultilevel"/>
    <w:tmpl w:val="021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B084E"/>
    <w:multiLevelType w:val="hybridMultilevel"/>
    <w:tmpl w:val="83000B08"/>
    <w:lvl w:ilvl="0" w:tplc="0409000F">
      <w:start w:val="1"/>
      <w:numFmt w:val="decimal"/>
      <w:lvlText w:val="%1."/>
      <w:lvlJc w:val="left"/>
      <w:pPr>
        <w:ind w:left="270" w:hanging="720"/>
      </w:pPr>
      <w:rPr>
        <w:rFonts w:hint="default"/>
      </w:rPr>
    </w:lvl>
    <w:lvl w:ilvl="1" w:tplc="89F2A938">
      <w:start w:val="1"/>
      <w:numFmt w:val="lowerLetter"/>
      <w:lvlText w:val="%2."/>
      <w:lvlJc w:val="left"/>
      <w:pPr>
        <w:ind w:left="690" w:hanging="420"/>
      </w:pPr>
      <w:rPr>
        <w:rFonts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4" w15:restartNumberingAfterBreak="0">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5F10FC1"/>
    <w:multiLevelType w:val="hybridMultilevel"/>
    <w:tmpl w:val="FF7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BA64DF"/>
    <w:multiLevelType w:val="hybridMultilevel"/>
    <w:tmpl w:val="C0DE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B43AEF"/>
    <w:multiLevelType w:val="hybridMultilevel"/>
    <w:tmpl w:val="3808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5518EE"/>
    <w:multiLevelType w:val="hybridMultilevel"/>
    <w:tmpl w:val="63E2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3F6825"/>
    <w:multiLevelType w:val="hybridMultilevel"/>
    <w:tmpl w:val="BD7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
  </w:num>
  <w:num w:numId="3">
    <w:abstractNumId w:val="4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6"/>
  </w:num>
  <w:num w:numId="7">
    <w:abstractNumId w:val="21"/>
  </w:num>
  <w:num w:numId="8">
    <w:abstractNumId w:val="23"/>
  </w:num>
  <w:num w:numId="9">
    <w:abstractNumId w:val="38"/>
  </w:num>
  <w:num w:numId="10">
    <w:abstractNumId w:val="20"/>
  </w:num>
  <w:num w:numId="11">
    <w:abstractNumId w:val="44"/>
  </w:num>
  <w:num w:numId="12">
    <w:abstractNumId w:val="24"/>
  </w:num>
  <w:num w:numId="13">
    <w:abstractNumId w:val="42"/>
  </w:num>
  <w:num w:numId="14">
    <w:abstractNumId w:val="3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7"/>
  </w:num>
  <w:num w:numId="18">
    <w:abstractNumId w:val="12"/>
  </w:num>
  <w:num w:numId="19">
    <w:abstractNumId w:val="36"/>
  </w:num>
  <w:num w:numId="20">
    <w:abstractNumId w:val="43"/>
  </w:num>
  <w:num w:numId="21">
    <w:abstractNumId w:val="7"/>
  </w:num>
  <w:num w:numId="22">
    <w:abstractNumId w:val="14"/>
  </w:num>
  <w:num w:numId="23">
    <w:abstractNumId w:val="29"/>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5"/>
  </w:num>
  <w:num w:numId="27">
    <w:abstractNumId w:val="3"/>
  </w:num>
  <w:num w:numId="28">
    <w:abstractNumId w:val="41"/>
  </w:num>
  <w:num w:numId="29">
    <w:abstractNumId w:val="39"/>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9"/>
  </w:num>
  <w:num w:numId="32">
    <w:abstractNumId w:val="31"/>
  </w:num>
  <w:num w:numId="33">
    <w:abstractNumId w:val="13"/>
  </w:num>
  <w:num w:numId="34">
    <w:abstractNumId w:val="16"/>
  </w:num>
  <w:num w:numId="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2"/>
  </w:num>
  <w:num w:numId="39">
    <w:abstractNumId w:val="18"/>
  </w:num>
  <w:num w:numId="40">
    <w:abstractNumId w:val="28"/>
  </w:num>
  <w:num w:numId="41">
    <w:abstractNumId w:val="22"/>
  </w:num>
  <w:num w:numId="42">
    <w:abstractNumId w:val="8"/>
  </w:num>
  <w:num w:numId="43">
    <w:abstractNumId w:val="30"/>
  </w:num>
  <w:num w:numId="44">
    <w:abstractNumId w:val="4"/>
  </w:num>
  <w:num w:numId="45">
    <w:abstractNumId w:val="15"/>
  </w:num>
  <w:num w:numId="46">
    <w:abstractNumId w:val="3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2E53"/>
    <w:rsid w:val="00056FD2"/>
    <w:rsid w:val="000574C5"/>
    <w:rsid w:val="00057723"/>
    <w:rsid w:val="00066904"/>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5D24"/>
    <w:rsid w:val="000C6AA9"/>
    <w:rsid w:val="000C7E94"/>
    <w:rsid w:val="000D0803"/>
    <w:rsid w:val="000D18FA"/>
    <w:rsid w:val="000D273E"/>
    <w:rsid w:val="000D398D"/>
    <w:rsid w:val="000D48F5"/>
    <w:rsid w:val="000D5287"/>
    <w:rsid w:val="000D5D01"/>
    <w:rsid w:val="000D5D6C"/>
    <w:rsid w:val="000D60B6"/>
    <w:rsid w:val="000D6937"/>
    <w:rsid w:val="000E2261"/>
    <w:rsid w:val="000E373E"/>
    <w:rsid w:val="000E467F"/>
    <w:rsid w:val="000E5821"/>
    <w:rsid w:val="000E6789"/>
    <w:rsid w:val="000E7B4B"/>
    <w:rsid w:val="000F0E9B"/>
    <w:rsid w:val="000F15FC"/>
    <w:rsid w:val="000F2495"/>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113A"/>
    <w:rsid w:val="00176305"/>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4D2F"/>
    <w:rsid w:val="001A59C0"/>
    <w:rsid w:val="001A69CC"/>
    <w:rsid w:val="001A6E4B"/>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622"/>
    <w:rsid w:val="00202B00"/>
    <w:rsid w:val="00202C81"/>
    <w:rsid w:val="00204ABE"/>
    <w:rsid w:val="00204B63"/>
    <w:rsid w:val="00205351"/>
    <w:rsid w:val="002060F7"/>
    <w:rsid w:val="00211451"/>
    <w:rsid w:val="00211785"/>
    <w:rsid w:val="002125F7"/>
    <w:rsid w:val="00215031"/>
    <w:rsid w:val="002177F4"/>
    <w:rsid w:val="002270ED"/>
    <w:rsid w:val="002304CF"/>
    <w:rsid w:val="00235F23"/>
    <w:rsid w:val="002364D6"/>
    <w:rsid w:val="00237074"/>
    <w:rsid w:val="00237948"/>
    <w:rsid w:val="002412BD"/>
    <w:rsid w:val="00243616"/>
    <w:rsid w:val="002468D5"/>
    <w:rsid w:val="0025091B"/>
    <w:rsid w:val="00254CAB"/>
    <w:rsid w:val="00255526"/>
    <w:rsid w:val="002575D8"/>
    <w:rsid w:val="0026076E"/>
    <w:rsid w:val="00260E8E"/>
    <w:rsid w:val="00261C1D"/>
    <w:rsid w:val="0026393D"/>
    <w:rsid w:val="002650D6"/>
    <w:rsid w:val="00265BA1"/>
    <w:rsid w:val="00270D4B"/>
    <w:rsid w:val="00271D68"/>
    <w:rsid w:val="00272707"/>
    <w:rsid w:val="002747A5"/>
    <w:rsid w:val="002770B9"/>
    <w:rsid w:val="002777DF"/>
    <w:rsid w:val="0028105B"/>
    <w:rsid w:val="00281CDF"/>
    <w:rsid w:val="002847D9"/>
    <w:rsid w:val="00284D7A"/>
    <w:rsid w:val="00285279"/>
    <w:rsid w:val="00285DA4"/>
    <w:rsid w:val="00285E02"/>
    <w:rsid w:val="0029068F"/>
    <w:rsid w:val="00290751"/>
    <w:rsid w:val="00291678"/>
    <w:rsid w:val="00291B08"/>
    <w:rsid w:val="00292977"/>
    <w:rsid w:val="00292980"/>
    <w:rsid w:val="00296C9D"/>
    <w:rsid w:val="00296F9F"/>
    <w:rsid w:val="00297352"/>
    <w:rsid w:val="002A0915"/>
    <w:rsid w:val="002A0C5C"/>
    <w:rsid w:val="002A1308"/>
    <w:rsid w:val="002A2B2D"/>
    <w:rsid w:val="002A2D3C"/>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08CC"/>
    <w:rsid w:val="002E63B0"/>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37288"/>
    <w:rsid w:val="00340A2C"/>
    <w:rsid w:val="00342209"/>
    <w:rsid w:val="00343E8D"/>
    <w:rsid w:val="003446E7"/>
    <w:rsid w:val="003478BA"/>
    <w:rsid w:val="0035100C"/>
    <w:rsid w:val="00352586"/>
    <w:rsid w:val="00352B2B"/>
    <w:rsid w:val="00353F2B"/>
    <w:rsid w:val="003548F9"/>
    <w:rsid w:val="00355EEF"/>
    <w:rsid w:val="003560A1"/>
    <w:rsid w:val="0035707B"/>
    <w:rsid w:val="00361EF0"/>
    <w:rsid w:val="00365160"/>
    <w:rsid w:val="00365527"/>
    <w:rsid w:val="00367C57"/>
    <w:rsid w:val="003707EA"/>
    <w:rsid w:val="003719BA"/>
    <w:rsid w:val="00371EFC"/>
    <w:rsid w:val="00372D12"/>
    <w:rsid w:val="003739F2"/>
    <w:rsid w:val="00373DC3"/>
    <w:rsid w:val="00373F2E"/>
    <w:rsid w:val="00375625"/>
    <w:rsid w:val="00375C52"/>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69C"/>
    <w:rsid w:val="003A393C"/>
    <w:rsid w:val="003A40A8"/>
    <w:rsid w:val="003A4413"/>
    <w:rsid w:val="003A538C"/>
    <w:rsid w:val="003A5C51"/>
    <w:rsid w:val="003A5E77"/>
    <w:rsid w:val="003A6338"/>
    <w:rsid w:val="003B1084"/>
    <w:rsid w:val="003B28E0"/>
    <w:rsid w:val="003B3061"/>
    <w:rsid w:val="003B4FDA"/>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6F0"/>
    <w:rsid w:val="004B1722"/>
    <w:rsid w:val="004B1BAD"/>
    <w:rsid w:val="004B380A"/>
    <w:rsid w:val="004B437D"/>
    <w:rsid w:val="004B591F"/>
    <w:rsid w:val="004C02A7"/>
    <w:rsid w:val="004C267D"/>
    <w:rsid w:val="004C33E5"/>
    <w:rsid w:val="004C3DFE"/>
    <w:rsid w:val="004C4BB9"/>
    <w:rsid w:val="004C78B9"/>
    <w:rsid w:val="004C7B68"/>
    <w:rsid w:val="004C7E1E"/>
    <w:rsid w:val="004D5DE8"/>
    <w:rsid w:val="004D7262"/>
    <w:rsid w:val="004D7992"/>
    <w:rsid w:val="004E1578"/>
    <w:rsid w:val="004E25EE"/>
    <w:rsid w:val="004E27C4"/>
    <w:rsid w:val="004E6E45"/>
    <w:rsid w:val="004E7596"/>
    <w:rsid w:val="004F245E"/>
    <w:rsid w:val="004F3BC7"/>
    <w:rsid w:val="004F5165"/>
    <w:rsid w:val="004F6AF1"/>
    <w:rsid w:val="004F7FCC"/>
    <w:rsid w:val="0050032C"/>
    <w:rsid w:val="0050051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0F1C"/>
    <w:rsid w:val="00562B89"/>
    <w:rsid w:val="005634BD"/>
    <w:rsid w:val="0056385E"/>
    <w:rsid w:val="00563BAA"/>
    <w:rsid w:val="005656F7"/>
    <w:rsid w:val="00566CBF"/>
    <w:rsid w:val="00566E61"/>
    <w:rsid w:val="00567266"/>
    <w:rsid w:val="00570704"/>
    <w:rsid w:val="00572CAB"/>
    <w:rsid w:val="005763FA"/>
    <w:rsid w:val="00576678"/>
    <w:rsid w:val="005767D7"/>
    <w:rsid w:val="005854E7"/>
    <w:rsid w:val="0058688C"/>
    <w:rsid w:val="00586E17"/>
    <w:rsid w:val="005877CE"/>
    <w:rsid w:val="005913EA"/>
    <w:rsid w:val="005937B5"/>
    <w:rsid w:val="00595D78"/>
    <w:rsid w:val="00597FF4"/>
    <w:rsid w:val="005A3DAA"/>
    <w:rsid w:val="005A6CD6"/>
    <w:rsid w:val="005B1CA1"/>
    <w:rsid w:val="005B379E"/>
    <w:rsid w:val="005B51AA"/>
    <w:rsid w:val="005C3692"/>
    <w:rsid w:val="005C39CA"/>
    <w:rsid w:val="005C3E52"/>
    <w:rsid w:val="005C5365"/>
    <w:rsid w:val="005C773E"/>
    <w:rsid w:val="005D28A8"/>
    <w:rsid w:val="005D4766"/>
    <w:rsid w:val="005D4E08"/>
    <w:rsid w:val="005D5D6D"/>
    <w:rsid w:val="005E398C"/>
    <w:rsid w:val="005E440F"/>
    <w:rsid w:val="005E7704"/>
    <w:rsid w:val="005E7BDE"/>
    <w:rsid w:val="005F15DC"/>
    <w:rsid w:val="005F3250"/>
    <w:rsid w:val="005F34B0"/>
    <w:rsid w:val="005F451F"/>
    <w:rsid w:val="005F5467"/>
    <w:rsid w:val="005F5AA7"/>
    <w:rsid w:val="005F5C47"/>
    <w:rsid w:val="0060057C"/>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71BA"/>
    <w:rsid w:val="00697365"/>
    <w:rsid w:val="006979BF"/>
    <w:rsid w:val="006A0882"/>
    <w:rsid w:val="006A0EBE"/>
    <w:rsid w:val="006A1A9E"/>
    <w:rsid w:val="006A2170"/>
    <w:rsid w:val="006A5773"/>
    <w:rsid w:val="006A7400"/>
    <w:rsid w:val="006A780E"/>
    <w:rsid w:val="006A79E4"/>
    <w:rsid w:val="006B42B0"/>
    <w:rsid w:val="006B4DB9"/>
    <w:rsid w:val="006C00D9"/>
    <w:rsid w:val="006C0774"/>
    <w:rsid w:val="006C1B9D"/>
    <w:rsid w:val="006C40CA"/>
    <w:rsid w:val="006D060B"/>
    <w:rsid w:val="006D07CE"/>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824"/>
    <w:rsid w:val="00714C0F"/>
    <w:rsid w:val="00714E14"/>
    <w:rsid w:val="00720AB4"/>
    <w:rsid w:val="007218AD"/>
    <w:rsid w:val="007249CC"/>
    <w:rsid w:val="00725D81"/>
    <w:rsid w:val="00726B57"/>
    <w:rsid w:val="00736B23"/>
    <w:rsid w:val="0074329D"/>
    <w:rsid w:val="007437DC"/>
    <w:rsid w:val="007440F4"/>
    <w:rsid w:val="0074475D"/>
    <w:rsid w:val="007447EC"/>
    <w:rsid w:val="00744AAE"/>
    <w:rsid w:val="00747F3D"/>
    <w:rsid w:val="00750E92"/>
    <w:rsid w:val="00751488"/>
    <w:rsid w:val="00753746"/>
    <w:rsid w:val="007569AA"/>
    <w:rsid w:val="00757CBD"/>
    <w:rsid w:val="00761AEA"/>
    <w:rsid w:val="00762FBA"/>
    <w:rsid w:val="00763A68"/>
    <w:rsid w:val="00763AC8"/>
    <w:rsid w:val="00764C9B"/>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49D0"/>
    <w:rsid w:val="007D52BE"/>
    <w:rsid w:val="007D6BB9"/>
    <w:rsid w:val="007E20E2"/>
    <w:rsid w:val="007E2290"/>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302"/>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02F6D"/>
    <w:rsid w:val="00910C2F"/>
    <w:rsid w:val="00912A76"/>
    <w:rsid w:val="00912BB6"/>
    <w:rsid w:val="00915575"/>
    <w:rsid w:val="0092067E"/>
    <w:rsid w:val="00924AF9"/>
    <w:rsid w:val="0092539A"/>
    <w:rsid w:val="00930202"/>
    <w:rsid w:val="009320A0"/>
    <w:rsid w:val="00934AB1"/>
    <w:rsid w:val="00936DE1"/>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226E"/>
    <w:rsid w:val="0099519A"/>
    <w:rsid w:val="009976F8"/>
    <w:rsid w:val="009A2D38"/>
    <w:rsid w:val="009A4B26"/>
    <w:rsid w:val="009A5E20"/>
    <w:rsid w:val="009A6AA5"/>
    <w:rsid w:val="009B0C35"/>
    <w:rsid w:val="009B3465"/>
    <w:rsid w:val="009B3D0A"/>
    <w:rsid w:val="009B4C6E"/>
    <w:rsid w:val="009B6157"/>
    <w:rsid w:val="009C1F97"/>
    <w:rsid w:val="009C2B4E"/>
    <w:rsid w:val="009C39F5"/>
    <w:rsid w:val="009C3C48"/>
    <w:rsid w:val="009C4E88"/>
    <w:rsid w:val="009C5AC1"/>
    <w:rsid w:val="009C65B3"/>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AF7"/>
    <w:rsid w:val="009F45C5"/>
    <w:rsid w:val="009F5107"/>
    <w:rsid w:val="009F5311"/>
    <w:rsid w:val="009F57B3"/>
    <w:rsid w:val="009F620E"/>
    <w:rsid w:val="009F679D"/>
    <w:rsid w:val="00A04985"/>
    <w:rsid w:val="00A067DE"/>
    <w:rsid w:val="00A06E18"/>
    <w:rsid w:val="00A073A5"/>
    <w:rsid w:val="00A1048B"/>
    <w:rsid w:val="00A11683"/>
    <w:rsid w:val="00A12A79"/>
    <w:rsid w:val="00A12E86"/>
    <w:rsid w:val="00A1558F"/>
    <w:rsid w:val="00A16F2D"/>
    <w:rsid w:val="00A213CE"/>
    <w:rsid w:val="00A21C5A"/>
    <w:rsid w:val="00A24EA9"/>
    <w:rsid w:val="00A256E6"/>
    <w:rsid w:val="00A274DE"/>
    <w:rsid w:val="00A31B4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39B8"/>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130"/>
    <w:rsid w:val="00A8440B"/>
    <w:rsid w:val="00A8454F"/>
    <w:rsid w:val="00A84637"/>
    <w:rsid w:val="00A85933"/>
    <w:rsid w:val="00A87307"/>
    <w:rsid w:val="00A90B67"/>
    <w:rsid w:val="00A92AD7"/>
    <w:rsid w:val="00A948D1"/>
    <w:rsid w:val="00A94CCB"/>
    <w:rsid w:val="00A957E9"/>
    <w:rsid w:val="00A961CC"/>
    <w:rsid w:val="00A9714F"/>
    <w:rsid w:val="00A97609"/>
    <w:rsid w:val="00A9789A"/>
    <w:rsid w:val="00AA0087"/>
    <w:rsid w:val="00AA2458"/>
    <w:rsid w:val="00AA3D1C"/>
    <w:rsid w:val="00AA4206"/>
    <w:rsid w:val="00AA49FD"/>
    <w:rsid w:val="00AA4B4A"/>
    <w:rsid w:val="00AA50CD"/>
    <w:rsid w:val="00AA55D8"/>
    <w:rsid w:val="00AA794D"/>
    <w:rsid w:val="00AB3A48"/>
    <w:rsid w:val="00AB4160"/>
    <w:rsid w:val="00AB4570"/>
    <w:rsid w:val="00AB6B3D"/>
    <w:rsid w:val="00AC23C7"/>
    <w:rsid w:val="00AC31FF"/>
    <w:rsid w:val="00AC45A4"/>
    <w:rsid w:val="00AD0D4A"/>
    <w:rsid w:val="00AD0EC4"/>
    <w:rsid w:val="00AD1E98"/>
    <w:rsid w:val="00AD5921"/>
    <w:rsid w:val="00AD692D"/>
    <w:rsid w:val="00AD7D8B"/>
    <w:rsid w:val="00AE1E2C"/>
    <w:rsid w:val="00AE20FF"/>
    <w:rsid w:val="00AE328F"/>
    <w:rsid w:val="00AE7C90"/>
    <w:rsid w:val="00AF6CDD"/>
    <w:rsid w:val="00B00E2B"/>
    <w:rsid w:val="00B06A67"/>
    <w:rsid w:val="00B06A78"/>
    <w:rsid w:val="00B07ED0"/>
    <w:rsid w:val="00B10B4B"/>
    <w:rsid w:val="00B110E4"/>
    <w:rsid w:val="00B114F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1D63"/>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74ED3"/>
    <w:rsid w:val="00B80302"/>
    <w:rsid w:val="00B80D32"/>
    <w:rsid w:val="00B85257"/>
    <w:rsid w:val="00B857D5"/>
    <w:rsid w:val="00B86389"/>
    <w:rsid w:val="00B8760A"/>
    <w:rsid w:val="00B879BD"/>
    <w:rsid w:val="00B87EBA"/>
    <w:rsid w:val="00B908A8"/>
    <w:rsid w:val="00B932FE"/>
    <w:rsid w:val="00B93B69"/>
    <w:rsid w:val="00B9510D"/>
    <w:rsid w:val="00B95A70"/>
    <w:rsid w:val="00B971F5"/>
    <w:rsid w:val="00BA153B"/>
    <w:rsid w:val="00BA2107"/>
    <w:rsid w:val="00BA22BA"/>
    <w:rsid w:val="00BA4AFD"/>
    <w:rsid w:val="00BA4F3F"/>
    <w:rsid w:val="00BA5758"/>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0E52"/>
    <w:rsid w:val="00BE1793"/>
    <w:rsid w:val="00BE2D17"/>
    <w:rsid w:val="00BE357A"/>
    <w:rsid w:val="00BE39D4"/>
    <w:rsid w:val="00BE3E1D"/>
    <w:rsid w:val="00BE4627"/>
    <w:rsid w:val="00BE64F2"/>
    <w:rsid w:val="00BE7EE2"/>
    <w:rsid w:val="00BF1A4F"/>
    <w:rsid w:val="00BF2C8B"/>
    <w:rsid w:val="00BF67DF"/>
    <w:rsid w:val="00BF7700"/>
    <w:rsid w:val="00C002D2"/>
    <w:rsid w:val="00C02180"/>
    <w:rsid w:val="00C04BAB"/>
    <w:rsid w:val="00C04C79"/>
    <w:rsid w:val="00C05783"/>
    <w:rsid w:val="00C10FC4"/>
    <w:rsid w:val="00C13542"/>
    <w:rsid w:val="00C1559D"/>
    <w:rsid w:val="00C179CA"/>
    <w:rsid w:val="00C20276"/>
    <w:rsid w:val="00C21FE3"/>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38FE"/>
    <w:rsid w:val="00C64A5A"/>
    <w:rsid w:val="00C64A8D"/>
    <w:rsid w:val="00C65010"/>
    <w:rsid w:val="00C660C6"/>
    <w:rsid w:val="00C71D3F"/>
    <w:rsid w:val="00C7238A"/>
    <w:rsid w:val="00C72F55"/>
    <w:rsid w:val="00C741CE"/>
    <w:rsid w:val="00C745E4"/>
    <w:rsid w:val="00C75F50"/>
    <w:rsid w:val="00C76006"/>
    <w:rsid w:val="00C761D4"/>
    <w:rsid w:val="00C773D8"/>
    <w:rsid w:val="00C804E2"/>
    <w:rsid w:val="00C82123"/>
    <w:rsid w:val="00C8448C"/>
    <w:rsid w:val="00C85B23"/>
    <w:rsid w:val="00C86885"/>
    <w:rsid w:val="00C86D3F"/>
    <w:rsid w:val="00C90829"/>
    <w:rsid w:val="00C966F1"/>
    <w:rsid w:val="00CA212F"/>
    <w:rsid w:val="00CA3736"/>
    <w:rsid w:val="00CA4057"/>
    <w:rsid w:val="00CB2849"/>
    <w:rsid w:val="00CB373A"/>
    <w:rsid w:val="00CB3BA3"/>
    <w:rsid w:val="00CB4660"/>
    <w:rsid w:val="00CC0AF8"/>
    <w:rsid w:val="00CC2B00"/>
    <w:rsid w:val="00CC423F"/>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228"/>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4E32"/>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2DD"/>
    <w:rsid w:val="00D549ED"/>
    <w:rsid w:val="00D54AB2"/>
    <w:rsid w:val="00D54F58"/>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6FC"/>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99F"/>
    <w:rsid w:val="00F422DC"/>
    <w:rsid w:val="00F42854"/>
    <w:rsid w:val="00F4447A"/>
    <w:rsid w:val="00F47EDE"/>
    <w:rsid w:val="00F53C64"/>
    <w:rsid w:val="00F53FB0"/>
    <w:rsid w:val="00F5435E"/>
    <w:rsid w:val="00F544E6"/>
    <w:rsid w:val="00F547F5"/>
    <w:rsid w:val="00F5517B"/>
    <w:rsid w:val="00F600C1"/>
    <w:rsid w:val="00F603A6"/>
    <w:rsid w:val="00F61731"/>
    <w:rsid w:val="00F61904"/>
    <w:rsid w:val="00F61D4E"/>
    <w:rsid w:val="00F6425C"/>
    <w:rsid w:val="00F645C7"/>
    <w:rsid w:val="00F648EA"/>
    <w:rsid w:val="00F664F8"/>
    <w:rsid w:val="00F66AF1"/>
    <w:rsid w:val="00F66DFE"/>
    <w:rsid w:val="00F670F6"/>
    <w:rsid w:val="00F70109"/>
    <w:rsid w:val="00F702A1"/>
    <w:rsid w:val="00F70F40"/>
    <w:rsid w:val="00F72E0E"/>
    <w:rsid w:val="00F74E1D"/>
    <w:rsid w:val="00F7563A"/>
    <w:rsid w:val="00F7588C"/>
    <w:rsid w:val="00F767CD"/>
    <w:rsid w:val="00F807C9"/>
    <w:rsid w:val="00F8228A"/>
    <w:rsid w:val="00F847C0"/>
    <w:rsid w:val="00F84E0B"/>
    <w:rsid w:val="00F856D0"/>
    <w:rsid w:val="00F85783"/>
    <w:rsid w:val="00F92A72"/>
    <w:rsid w:val="00F93303"/>
    <w:rsid w:val="00F943A8"/>
    <w:rsid w:val="00F944BA"/>
    <w:rsid w:val="00F94AE6"/>
    <w:rsid w:val="00F950C1"/>
    <w:rsid w:val="00F95E22"/>
    <w:rsid w:val="00F96B96"/>
    <w:rsid w:val="00FA0233"/>
    <w:rsid w:val="00FA14D2"/>
    <w:rsid w:val="00FA2171"/>
    <w:rsid w:val="00FA2CE0"/>
    <w:rsid w:val="00FA375B"/>
    <w:rsid w:val="00FA4E2B"/>
    <w:rsid w:val="00FA57B6"/>
    <w:rsid w:val="00FA5F60"/>
    <w:rsid w:val="00FA7C61"/>
    <w:rsid w:val="00FA7E0B"/>
    <w:rsid w:val="00FA7E6F"/>
    <w:rsid w:val="00FB34C5"/>
    <w:rsid w:val="00FB4DA0"/>
    <w:rsid w:val="00FC034D"/>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15:docId w15:val="{6390D620-E185-47F9-8B3A-51328018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76526791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du/2yr/PLA/Documents/PLA%20One-Pager.pdf" TargetMode="External"/><Relationship Id="rId3" Type="http://schemas.openxmlformats.org/officeDocument/2006/relationships/settings" Target="settings.xml"/><Relationship Id="rId7" Type="http://schemas.openxmlformats.org/officeDocument/2006/relationships/hyperlink" Target="https://mus.edu/borpol/bor300/301-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us.edu/2yr/PLA/Documents/MT%20PLA%20Expanded%20Policy%20Recommendations%209-11-15%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2017-10-06T16:32:00Z</dcterms:created>
  <dcterms:modified xsi:type="dcterms:W3CDTF">2017-10-06T18:37:00Z</dcterms:modified>
</cp:coreProperties>
</file>